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CAF6" w14:textId="67ED2E32" w:rsidR="009736E9" w:rsidRPr="003B6C00" w:rsidRDefault="003767EB" w:rsidP="006D7ED1">
      <w:pPr>
        <w:jc w:val="center"/>
        <w:rPr>
          <w:rFonts w:ascii="Verdana" w:hAnsi="Verdana"/>
          <w:b/>
          <w:sz w:val="20"/>
          <w:szCs w:val="20"/>
          <w:u w:val="single"/>
          <w:lang w:val="es-ES"/>
        </w:rPr>
      </w:pPr>
      <w:r w:rsidRPr="003767EB">
        <w:rPr>
          <w:rFonts w:ascii="Verdana" w:eastAsia="MS Mincho" w:hAnsi="Verdana"/>
          <w:b/>
          <w:sz w:val="20"/>
          <w:szCs w:val="20"/>
          <w:u w:val="single"/>
        </w:rPr>
        <w:t>Caso Girón y otro Vs. Guatemala</w:t>
      </w:r>
      <w:r w:rsidR="009736E9" w:rsidRPr="003B6C00">
        <w:rPr>
          <w:rFonts w:ascii="Verdana" w:eastAsia="MS Mincho" w:hAnsi="Verdana"/>
          <w:b/>
          <w:sz w:val="20"/>
          <w:szCs w:val="20"/>
          <w:u w:val="single"/>
        </w:rPr>
        <w:t xml:space="preserve">: </w:t>
      </w:r>
      <w:r w:rsidR="009736E9" w:rsidRPr="003B6C00">
        <w:rPr>
          <w:rFonts w:ascii="Verdana" w:hAnsi="Verdana"/>
          <w:b/>
          <w:sz w:val="20"/>
          <w:szCs w:val="20"/>
          <w:u w:val="single"/>
          <w:lang w:val="es-ES"/>
        </w:rPr>
        <w:t>reparaciones declaradas cumplidas</w:t>
      </w:r>
    </w:p>
    <w:p w14:paraId="297BED7F" w14:textId="77777777" w:rsidR="00FD3B81" w:rsidRPr="00FD3B81" w:rsidRDefault="00FD3B81" w:rsidP="00FD3B81">
      <w:pPr>
        <w:pStyle w:val="Prrafodelista"/>
        <w:spacing w:after="40"/>
        <w:ind w:left="0"/>
        <w:rPr>
          <w:lang w:val="es-CR"/>
        </w:rPr>
      </w:pPr>
    </w:p>
    <w:p w14:paraId="699495E0" w14:textId="077FC6C2" w:rsidR="00FD3B81" w:rsidRPr="00241604" w:rsidRDefault="00FD3B81" w:rsidP="00FD3B81">
      <w:pPr>
        <w:pStyle w:val="Prrafodelista"/>
        <w:numPr>
          <w:ilvl w:val="0"/>
          <w:numId w:val="3"/>
        </w:numPr>
        <w:spacing w:after="40"/>
        <w:ind w:left="0" w:firstLine="0"/>
        <w:rPr>
          <w:lang w:val="es-CR"/>
        </w:rPr>
      </w:pPr>
      <w:r>
        <w:t xml:space="preserve">Reintegrar al Fondo de Asistencia Legal de Víctimas de la Corte Interamericana de Derechos Humanos la cantidad erogada durante la tramitación del presente caso, en los términos del párrafo 151 de </w:t>
      </w:r>
      <w:r w:rsidR="006D7ED1">
        <w:t xml:space="preserve">la </w:t>
      </w:r>
      <w:r>
        <w:t xml:space="preserve">Sentencia. </w:t>
      </w:r>
    </w:p>
    <w:p w14:paraId="31E41264" w14:textId="77777777" w:rsidR="005B21EE" w:rsidRPr="003B6C00" w:rsidRDefault="005B21EE" w:rsidP="009736E9">
      <w:pPr>
        <w:jc w:val="center"/>
        <w:rPr>
          <w:rFonts w:ascii="Verdana" w:hAnsi="Verdana"/>
          <w:b/>
          <w:sz w:val="20"/>
          <w:szCs w:val="20"/>
          <w:u w:val="single"/>
          <w:lang w:val="es-ES"/>
        </w:rPr>
      </w:pPr>
    </w:p>
    <w:p w14:paraId="43551772" w14:textId="461211B3" w:rsidR="00FD3B81" w:rsidRPr="00FD3B81" w:rsidRDefault="003767EB" w:rsidP="00FD3B81">
      <w:pPr>
        <w:tabs>
          <w:tab w:val="left" w:pos="360"/>
        </w:tabs>
        <w:jc w:val="both"/>
        <w:rPr>
          <w:rFonts w:ascii="Verdana" w:hAnsi="Verdana"/>
          <w:b/>
          <w:sz w:val="20"/>
          <w:szCs w:val="20"/>
          <w:lang w:val="es-ES_tradnl"/>
        </w:rPr>
      </w:pPr>
      <w:r w:rsidRPr="00126091">
        <w:rPr>
          <w:rFonts w:ascii="Verdana" w:hAnsi="Verdana"/>
          <w:b/>
          <w:sz w:val="20"/>
          <w:szCs w:val="20"/>
          <w:lang w:val="es-ES_tradnl"/>
        </w:rPr>
        <w:t>Cumplimiento parcial</w:t>
      </w:r>
    </w:p>
    <w:p w14:paraId="6147C7BE" w14:textId="0477EB05" w:rsidR="00FD3B81" w:rsidRDefault="00FD3B81" w:rsidP="00FD3B81">
      <w:pPr>
        <w:pStyle w:val="Prrafodelista"/>
        <w:numPr>
          <w:ilvl w:val="0"/>
          <w:numId w:val="3"/>
        </w:numPr>
        <w:spacing w:after="40"/>
        <w:ind w:left="0" w:firstLine="0"/>
        <w:rPr>
          <w:lang w:val="es-CR"/>
        </w:rPr>
      </w:pPr>
      <w:r>
        <w:t>Realizar las publicaciones indicadas en el párrafo 132 de la Sentencia</w:t>
      </w:r>
      <w:r>
        <w:rPr>
          <w:lang w:val="es-CR"/>
        </w:rPr>
        <w:t>.</w:t>
      </w:r>
    </w:p>
    <w:p w14:paraId="19C6A6B5" w14:textId="77777777" w:rsidR="00FD3B81" w:rsidRPr="00241604" w:rsidRDefault="00FD3B81" w:rsidP="00FD3B81">
      <w:pPr>
        <w:pStyle w:val="Prrafodelista"/>
        <w:spacing w:after="40"/>
        <w:ind w:left="0"/>
        <w:rPr>
          <w:lang w:val="es-CR"/>
        </w:rPr>
      </w:pPr>
    </w:p>
    <w:p w14:paraId="74F629B2" w14:textId="77777777" w:rsidR="00FD3B81" w:rsidRPr="00126091" w:rsidRDefault="00FD3B81" w:rsidP="00FD3B81">
      <w:pPr>
        <w:tabs>
          <w:tab w:val="left" w:pos="360"/>
        </w:tabs>
        <w:jc w:val="both"/>
        <w:rPr>
          <w:rFonts w:ascii="Verdana" w:hAnsi="Verdana"/>
          <w:sz w:val="20"/>
          <w:szCs w:val="20"/>
        </w:rPr>
      </w:pPr>
      <w:r w:rsidRPr="00126091">
        <w:rPr>
          <w:rFonts w:ascii="Verdana" w:hAnsi="Verdana"/>
          <w:sz w:val="20"/>
          <w:szCs w:val="20"/>
        </w:rPr>
        <w:t>En los Considerandos</w:t>
      </w:r>
      <w:r>
        <w:rPr>
          <w:szCs w:val="20"/>
        </w:rPr>
        <w:t xml:space="preserve"> 2 y 3</w:t>
      </w:r>
      <w:r w:rsidRPr="00126091">
        <w:rPr>
          <w:rFonts w:ascii="Verdana" w:hAnsi="Verdana"/>
          <w:sz w:val="20"/>
          <w:szCs w:val="20"/>
        </w:rPr>
        <w:t xml:space="preserve"> de la </w:t>
      </w:r>
      <w:r>
        <w:rPr>
          <w:szCs w:val="20"/>
        </w:rPr>
        <w:t>R</w:t>
      </w:r>
      <w:r w:rsidRPr="00126091">
        <w:rPr>
          <w:rFonts w:ascii="Verdana" w:hAnsi="Verdana"/>
          <w:sz w:val="20"/>
          <w:szCs w:val="20"/>
        </w:rPr>
        <w:t>esolución de la Corte de</w:t>
      </w:r>
      <w:r>
        <w:rPr>
          <w:szCs w:val="20"/>
        </w:rPr>
        <w:t xml:space="preserve"> 2 de septiembre de 20 </w:t>
      </w:r>
      <w:r w:rsidRPr="00126091">
        <w:rPr>
          <w:rFonts w:ascii="Verdana" w:hAnsi="Verdana"/>
          <w:sz w:val="20"/>
          <w:szCs w:val="20"/>
        </w:rPr>
        <w:t>se explica lo que continúa pendiente de cumplimiento respecto a la presente medida de reparación:</w:t>
      </w:r>
    </w:p>
    <w:p w14:paraId="22AA777E" w14:textId="77777777" w:rsidR="00FD3B81" w:rsidRDefault="00FD3B81" w:rsidP="00FD3B81">
      <w:pPr>
        <w:pStyle w:val="Prrafodelista"/>
        <w:spacing w:after="40"/>
        <w:ind w:left="0"/>
        <w:rPr>
          <w:lang w:val="es-CR"/>
        </w:rPr>
      </w:pPr>
    </w:p>
    <w:p w14:paraId="00B6F0EC" w14:textId="77777777" w:rsidR="00FD3B81" w:rsidRPr="00241604" w:rsidRDefault="00FD3B81" w:rsidP="00FD3B81">
      <w:pPr>
        <w:pStyle w:val="Prrafodelista"/>
        <w:spacing w:after="40"/>
        <w:ind w:left="851" w:right="851"/>
        <w:rPr>
          <w:sz w:val="16"/>
          <w:szCs w:val="16"/>
        </w:rPr>
      </w:pPr>
      <w:r w:rsidRPr="00241604">
        <w:rPr>
          <w:sz w:val="16"/>
          <w:szCs w:val="16"/>
        </w:rPr>
        <w:t>2. La Corte considera que Guatemala ha dado cumplimiento parcial a las medidas relativas a las publicación y difusión de la Sentencia ordenadas en el párrafo 132 y el punto resolutivo sexto de la misma, debido a que publicó el texto integral de la Sentencia en el sitio web oficial de la Comisión Presidencial por la Paz y los Derechos Humanos (COPADEH)4. Toda vez que la difusión en el referido sitio web debe mantenerse por al menos un año, el Estado deberá continuar garantizando la preservación de tal publicación, al menos, hasta el 30 de septiembre de 2022.</w:t>
      </w:r>
    </w:p>
    <w:p w14:paraId="0545408A" w14:textId="77777777" w:rsidR="00FD3B81" w:rsidRPr="00241604" w:rsidRDefault="00FD3B81" w:rsidP="00FD3B81">
      <w:pPr>
        <w:pStyle w:val="Prrafodelista"/>
        <w:spacing w:after="40"/>
        <w:ind w:left="851" w:right="851"/>
        <w:rPr>
          <w:sz w:val="16"/>
          <w:szCs w:val="16"/>
        </w:rPr>
      </w:pPr>
    </w:p>
    <w:p w14:paraId="2AD2D7CF" w14:textId="0D9B2750" w:rsidR="006C45D6" w:rsidRPr="00FD3B81" w:rsidRDefault="00FD3B81" w:rsidP="00FD3B81">
      <w:pPr>
        <w:pStyle w:val="Prrafodelista"/>
        <w:spacing w:after="40"/>
        <w:ind w:left="851" w:right="851"/>
        <w:rPr>
          <w:sz w:val="16"/>
          <w:szCs w:val="16"/>
          <w:lang w:val="es-CR"/>
        </w:rPr>
      </w:pPr>
      <w:r w:rsidRPr="00241604">
        <w:rPr>
          <w:sz w:val="16"/>
          <w:szCs w:val="16"/>
        </w:rPr>
        <w:t>3. Se encuentra pendiente la publicación del resumen oficial de la Sentencia elaborado por la Corte, por una sola vez, en un diario de amplia circulación nacional y en el diario oficial en un tamaño de letra legible y adecuado. El plazo para su cumplimiento venció hace dos años, esto es el 19 de mayo de 2020. El Tribunal requiere al Estado efectuar el pronto cumplimiento de este extremo de la medida, a fin de que pueda valorar el cumplimiento total de esta reparación</w:t>
      </w:r>
    </w:p>
    <w:sectPr w:rsidR="006C45D6" w:rsidRPr="00FD3B8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11132" w14:textId="77777777" w:rsidR="00B13E36" w:rsidRDefault="00B13E36" w:rsidP="003B6C00">
      <w:pPr>
        <w:spacing w:after="0" w:line="240" w:lineRule="auto"/>
      </w:pPr>
      <w:r>
        <w:separator/>
      </w:r>
    </w:p>
  </w:endnote>
  <w:endnote w:type="continuationSeparator" w:id="0">
    <w:p w14:paraId="2583F82B" w14:textId="77777777" w:rsidR="00B13E36" w:rsidRDefault="00B13E36" w:rsidP="003B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F4E6" w14:textId="77777777" w:rsidR="003B6C00" w:rsidRPr="00A950A1" w:rsidRDefault="003B6C00" w:rsidP="003B6C00">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69EDD57" w14:textId="77777777" w:rsidR="003B6C00" w:rsidRDefault="003B6C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A763" w14:textId="77777777" w:rsidR="00B13E36" w:rsidRDefault="00B13E36" w:rsidP="003B6C00">
      <w:pPr>
        <w:spacing w:after="0" w:line="240" w:lineRule="auto"/>
      </w:pPr>
      <w:r>
        <w:separator/>
      </w:r>
    </w:p>
  </w:footnote>
  <w:footnote w:type="continuationSeparator" w:id="0">
    <w:p w14:paraId="73BD4070" w14:textId="77777777" w:rsidR="00B13E36" w:rsidRDefault="00B13E36" w:rsidP="003B6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652"/>
    <w:multiLevelType w:val="hybridMultilevel"/>
    <w:tmpl w:val="AD982202"/>
    <w:lvl w:ilvl="0" w:tplc="0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515E9E"/>
    <w:multiLevelType w:val="hybridMultilevel"/>
    <w:tmpl w:val="F490F310"/>
    <w:lvl w:ilvl="0" w:tplc="6980CF7E">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A823C8"/>
    <w:multiLevelType w:val="hybridMultilevel"/>
    <w:tmpl w:val="D25821F6"/>
    <w:lvl w:ilvl="0" w:tplc="0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463689674">
    <w:abstractNumId w:val="1"/>
  </w:num>
  <w:num w:numId="2" w16cid:durableId="373819455">
    <w:abstractNumId w:val="0"/>
  </w:num>
  <w:num w:numId="3" w16cid:durableId="264729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6E9"/>
    <w:rsid w:val="003767EB"/>
    <w:rsid w:val="003B6C00"/>
    <w:rsid w:val="0050628A"/>
    <w:rsid w:val="005B21EE"/>
    <w:rsid w:val="006C45D6"/>
    <w:rsid w:val="006D7ED1"/>
    <w:rsid w:val="008A7C8F"/>
    <w:rsid w:val="00952E74"/>
    <w:rsid w:val="009736E9"/>
    <w:rsid w:val="00B13E36"/>
    <w:rsid w:val="00FD3B8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3BB5"/>
  <w15:chartTrackingRefBased/>
  <w15:docId w15:val="{035BA445-6885-46E4-9E67-7AA69999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B21EE"/>
    <w:pPr>
      <w:autoSpaceDE w:val="0"/>
      <w:autoSpaceDN w:val="0"/>
      <w:adjustRightInd w:val="0"/>
      <w:spacing w:after="0" w:line="240" w:lineRule="auto"/>
    </w:pPr>
    <w:rPr>
      <w:rFonts w:ascii="Verdana" w:eastAsia="Calibri" w:hAnsi="Verdana" w:cs="Verdana"/>
      <w:color w:val="000000"/>
      <w:sz w:val="24"/>
      <w:szCs w:val="24"/>
      <w:lang w:val="en-US"/>
    </w:rPr>
  </w:style>
  <w:style w:type="paragraph" w:styleId="Prrafodelista">
    <w:name w:val="List Paragraph"/>
    <w:aliases w:val="Footnote,List Paragraph1,Párrafo de lista1,Colorful List - Accent 11,List Paragraph2,Lista vistosa - Énfasis 11"/>
    <w:basedOn w:val="Normal"/>
    <w:link w:val="PrrafodelistaCar"/>
    <w:uiPriority w:val="34"/>
    <w:qFormat/>
    <w:rsid w:val="005B21EE"/>
    <w:pPr>
      <w:spacing w:after="0" w:line="240" w:lineRule="auto"/>
      <w:ind w:left="720"/>
      <w:contextualSpacing/>
      <w:jc w:val="both"/>
    </w:pPr>
    <w:rPr>
      <w:rFonts w:ascii="Verdana" w:eastAsia="Batang" w:hAnsi="Verdana" w:cs="Times"/>
      <w:noProof/>
      <w:sz w:val="20"/>
      <w:szCs w:val="24"/>
      <w:lang w:val="es-ES_tradnl"/>
    </w:rPr>
  </w:style>
  <w:style w:type="paragraph" w:styleId="Encabezado">
    <w:name w:val="header"/>
    <w:basedOn w:val="Normal"/>
    <w:link w:val="EncabezadoCar"/>
    <w:uiPriority w:val="99"/>
    <w:unhideWhenUsed/>
    <w:rsid w:val="003B6C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6C00"/>
  </w:style>
  <w:style w:type="paragraph" w:styleId="Piedepgina">
    <w:name w:val="footer"/>
    <w:basedOn w:val="Normal"/>
    <w:link w:val="PiedepginaCar"/>
    <w:uiPriority w:val="99"/>
    <w:unhideWhenUsed/>
    <w:rsid w:val="003B6C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6C00"/>
  </w:style>
  <w:style w:type="character" w:customStyle="1" w:styleId="PrrafodelistaCar">
    <w:name w:val="Párrafo de lista Car"/>
    <w:aliases w:val="Footnote Car,List Paragraph1 Car,Párrafo de lista1 Car,Colorful List - Accent 11 Car,List Paragraph2 Car,Lista vistosa - Énfasis 11 Car"/>
    <w:link w:val="Prrafodelista"/>
    <w:uiPriority w:val="34"/>
    <w:rsid w:val="006C45D6"/>
    <w:rPr>
      <w:rFonts w:ascii="Verdana" w:eastAsia="Batang" w:hAnsi="Verdana" w:cs="Times"/>
      <w:noProof/>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1320</Characters>
  <Application>Microsoft Office Word</Application>
  <DocSecurity>0</DocSecurity>
  <Lines>25</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Shashira Douglas</dc:creator>
  <cp:keywords/>
  <dc:description/>
  <cp:lastModifiedBy>Shashira Douglas</cp:lastModifiedBy>
  <cp:revision>3</cp:revision>
  <dcterms:created xsi:type="dcterms:W3CDTF">2022-12-28T22:04:00Z</dcterms:created>
  <dcterms:modified xsi:type="dcterms:W3CDTF">2022-12-28T22:05:00Z</dcterms:modified>
</cp:coreProperties>
</file>